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Calibri" w:hAnsi="Calibri"/>
          <w:sz w:val="44"/>
        </w:rPr>
        <w:t>Action Plan: Recover Stockouts at Top-Performing Stores</w:t>
      </w:r>
    </w:p>
    <w:p>
      <w:r>
        <w:rPr>
          <w:rFonts w:ascii="Calibri" w:hAnsi="Calibri"/>
          <w:b/>
          <w:sz w:val="22"/>
        </w:rPr>
        <w:t>Period analysed:</w:t>
      </w:r>
      <w:r>
        <w:rPr>
          <w:rFonts w:ascii="Calibri" w:hAnsi="Calibri"/>
          <w:sz w:val="22"/>
        </w:rPr>
        <w:t xml:space="preserve"> 2026-03-23 to 2026-03-29 (last completed retail week)</w:t>
      </w:r>
    </w:p>
    <w:p>
      <w:r>
        <w:rPr>
          <w:rFonts w:ascii="Calibri" w:hAnsi="Calibri"/>
          <w:b/>
          <w:sz w:val="22"/>
        </w:rPr>
        <w:t>CSOH snapshot:</w:t>
      </w:r>
      <w:r>
        <w:rPr>
          <w:rFonts w:ascii="Calibri" w:hAnsi="Calibri"/>
          <w:sz w:val="22"/>
        </w:rPr>
        <w:t xml:space="preserve"> Clicks: 2026-03-29 · Markham: 2026-03-28</w:t>
      </w:r>
    </w:p>
    <w:p>
      <w:r>
        <w:rPr>
          <w:rFonts w:ascii="Calibri" w:hAnsi="Calibri"/>
          <w:b/>
          <w:sz w:val="22"/>
        </w:rPr>
        <w:t>Scope:</w:t>
      </w:r>
      <w:r>
        <w:rPr>
          <w:rFonts w:ascii="Calibri" w:hAnsi="Calibri"/>
          <w:sz w:val="22"/>
        </w:rPr>
        <w:t xml:space="preserve"> top 10 stores per AM × top 20 best-sellers per AM. Stockout = store has zero CSOH for a SKU that other stores of the same retailer stock and sold.</w:t>
      </w:r>
    </w:p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Executive summary</w:t>
      </w:r>
    </w:p>
    <w:p>
      <w:r>
        <w:rPr>
          <w:rFonts w:ascii="Calibri" w:hAnsi="Calibri"/>
          <w:sz w:val="22"/>
        </w:rPr>
        <w:t xml:space="preserve">In the last completed week, </w:t>
      </w:r>
      <w:r>
        <w:rPr>
          <w:rFonts w:ascii="Calibri" w:hAnsi="Calibri"/>
          <w:b/>
          <w:sz w:val="22"/>
        </w:rPr>
        <w:t>166 (store × bestseller) stockouts</w:t>
      </w:r>
      <w:r>
        <w:rPr>
          <w:rFonts w:ascii="Calibri" w:hAnsi="Calibri"/>
          <w:sz w:val="22"/>
        </w:rPr>
        <w:t xml:space="preserve"> were identified across the top-performing stores of all 8 Area Managers. Conservative modelling — each affected store maintains its normal share of territory unit volume — estimates the weekly revenue gap at </w:t>
      </w:r>
      <w:r>
        <w:rPr>
          <w:rFonts w:ascii="Calibri" w:hAnsi="Calibri"/>
          <w:b/>
          <w:sz w:val="22"/>
        </w:rPr>
        <w:t>R 29 977</w:t>
      </w:r>
      <w:r>
        <w:rPr>
          <w:rFonts w:ascii="Calibri" w:hAnsi="Calibri"/>
          <w:sz w:val="22"/>
        </w:rPr>
        <w:t>.</w:t>
      </w:r>
    </w:p>
    <w:p>
      <w:r>
        <w:rPr>
          <w:rFonts w:ascii="Calibri" w:hAnsi="Calibri"/>
          <w:sz w:val="22"/>
        </w:rPr>
        <w:t xml:space="preserve">Held constant for the next </w:t>
      </w:r>
      <w:r>
        <w:rPr>
          <w:rFonts w:ascii="Calibri" w:hAnsi="Calibri"/>
          <w:b/>
          <w:sz w:val="22"/>
        </w:rPr>
        <w:t>12 weeks</w:t>
      </w:r>
      <w:r>
        <w:rPr>
          <w:rFonts w:ascii="Calibri" w:hAnsi="Calibri"/>
          <w:sz w:val="22"/>
        </w:rPr>
        <w:t xml:space="preserve">, that compounds to </w:t>
      </w:r>
      <w:r>
        <w:rPr>
          <w:rFonts w:ascii="Calibri" w:hAnsi="Calibri"/>
          <w:b/>
          <w:sz w:val="22"/>
        </w:rPr>
        <w:t>R 359 725</w:t>
      </w:r>
      <w:r>
        <w:rPr>
          <w:rFonts w:ascii="Calibri" w:hAnsi="Calibri"/>
          <w:sz w:val="22"/>
        </w:rPr>
        <w:t xml:space="preserve"> of foregone retail value.</w:t>
      </w:r>
    </w:p>
    <w:p>
      <w:r>
        <w:rPr>
          <w:rFonts w:ascii="Calibri" w:hAnsi="Calibri"/>
          <w:sz w:val="22"/>
        </w:rPr>
        <w:t>This document covers:</w:t>
      </w:r>
    </w:p>
    <w:p>
      <w:r>
        <w:rPr>
          <w:rFonts w:ascii="Calibri" w:hAnsi="Calibri"/>
          <w:sz w:val="22"/>
        </w:rPr>
        <w:t>1. The 12-week missed-opportunity envelope per AM</w:t>
      </w:r>
    </w:p>
    <w:p>
      <w:r>
        <w:rPr>
          <w:rFonts w:ascii="Calibri" w:hAnsi="Calibri"/>
          <w:sz w:val="22"/>
        </w:rPr>
        <w:t>2. A scenario view showing how much of that opportunity is recoverable</w:t>
      </w:r>
    </w:p>
    <w:p>
      <w:r>
        <w:rPr>
          <w:rFonts w:ascii="Calibri" w:hAnsi="Calibri"/>
          <w:sz w:val="22"/>
        </w:rPr>
        <w:t>3. A weekly operating cadence to identify, act and verify</w:t>
      </w:r>
    </w:p>
    <w:p>
      <w:r>
        <w:rPr>
          <w:rFonts w:ascii="Calibri" w:hAnsi="Calibri"/>
          <w:sz w:val="22"/>
        </w:rPr>
        <w:t>4. Ownership and review structure</w:t>
      </w:r>
    </w:p>
    <w:p>
      <w:pPr>
        <w:pStyle w:val="Heading2"/>
      </w:pPr>
      <w:r>
        <w:rPr>
          <w:rFonts w:ascii="Calibri" w:hAnsi="Calibri"/>
          <w:sz w:val="32"/>
        </w:rPr>
        <w:t>12-week missed opportunity</w:t>
      </w:r>
    </w:p>
    <w:p>
      <w:r>
        <w:rPr>
          <w:rFonts w:ascii="Calibri" w:hAnsi="Calibri"/>
          <w:sz w:val="22"/>
        </w:rPr>
        <w:t>Per-AM run-rate, plus the 12-week extrapolation if no reallocations are made.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Area Manager</w:t>
            </w:r>
          </w:p>
        </w:tc>
        <w:tc>
          <w:tcPr>
            <w:tcW w:type="dxa" w:w="1994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Stockouts</w:t>
            </w:r>
          </w:p>
        </w:tc>
        <w:tc>
          <w:tcPr>
            <w:tcW w:type="dxa" w:w="1994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Weekly units</w:t>
            </w:r>
          </w:p>
        </w:tc>
        <w:tc>
          <w:tcPr>
            <w:tcW w:type="dxa" w:w="1994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Weekly revenue</w:t>
            </w:r>
          </w:p>
        </w:tc>
        <w:tc>
          <w:tcPr>
            <w:tcW w:type="dxa" w:w="1994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12-week revenue</w:t>
            </w:r>
          </w:p>
        </w:tc>
      </w:tr>
      <w:tr>
        <w:tc>
          <w:tcPr>
            <w:tcW w:type="dxa" w:w="1994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62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17 381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208 567</w:t>
            </w:r>
          </w:p>
        </w:tc>
      </w:tr>
      <w:tr>
        <w:tc>
          <w:tcPr>
            <w:tcW w:type="dxa" w:w="1994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Abram Ledwaba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23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4 007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48 084</w:t>
            </w:r>
          </w:p>
        </w:tc>
      </w:tr>
      <w:tr>
        <w:tc>
          <w:tcPr>
            <w:tcW w:type="dxa" w:w="1994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Vandy Strydom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2 153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25 841</w:t>
            </w:r>
          </w:p>
        </w:tc>
      </w:tr>
      <w:tr>
        <w:tc>
          <w:tcPr>
            <w:tcW w:type="dxa" w:w="1994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Tumi Mlambo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1 865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22 375</w:t>
            </w:r>
          </w:p>
        </w:tc>
      </w:tr>
      <w:tr>
        <w:tc>
          <w:tcPr>
            <w:tcW w:type="dxa" w:w="1994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Alex Foster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1 682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20 181</w:t>
            </w:r>
          </w:p>
        </w:tc>
      </w:tr>
      <w:tr>
        <w:tc>
          <w:tcPr>
            <w:tcW w:type="dxa" w:w="1994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Rodney Rhode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1 189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14 265</w:t>
            </w:r>
          </w:p>
        </w:tc>
      </w:tr>
      <w:tr>
        <w:tc>
          <w:tcPr>
            <w:tcW w:type="dxa" w:w="1994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Anton Sprake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958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11 499</w:t>
            </w:r>
          </w:p>
        </w:tc>
      </w:tr>
      <w:tr>
        <w:tc>
          <w:tcPr>
            <w:tcW w:type="dxa" w:w="1994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Unassigned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743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8 914</w:t>
            </w:r>
          </w:p>
        </w:tc>
      </w:tr>
      <w:tr>
        <w:tc>
          <w:tcPr>
            <w:tcW w:type="dxa" w:w="1994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Total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166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133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29 977</w:t>
            </w:r>
          </w:p>
        </w:tc>
        <w:tc>
          <w:tcPr>
            <w:tcW w:type="dxa" w:w="1994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359 725</w:t>
            </w:r>
          </w:p>
        </w:tc>
      </w:tr>
    </w:tbl>
    <w:p/>
    <w:p>
      <w:pPr>
        <w:pStyle w:val="Heading2"/>
      </w:pPr>
      <w:r>
        <w:rPr>
          <w:rFonts w:ascii="Calibri" w:hAnsi="Calibri"/>
          <w:sz w:val="32"/>
        </w:rPr>
        <w:t>What's actually recoverable</w:t>
      </w:r>
    </w:p>
    <w:p>
      <w:r>
        <w:rPr>
          <w:rFonts w:ascii="Calibri" w:hAnsi="Calibri"/>
          <w:sz w:val="22"/>
        </w:rPr>
        <w:t xml:space="preserve">The 12-week total assumes stockouts persist untouched for the full period — only realistic if no action is taken. The table below models three response paces. The </w:t>
      </w:r>
      <w:r>
        <w:rPr>
          <w:rFonts w:ascii="Calibri" w:hAnsi="Calibri"/>
          <w:b/>
          <w:sz w:val="22"/>
        </w:rPr>
        <w:t>opportunity recovered</w:t>
      </w:r>
      <w:r>
        <w:rPr>
          <w:rFonts w:ascii="Calibri" w:hAnsi="Calibri"/>
          <w:sz w:val="22"/>
        </w:rPr>
        <w:t xml:space="preserve"> column is what the action plan is designed to capture.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Scenario</w:t>
            </w:r>
          </w:p>
        </w:tc>
        <w:tc>
          <w:tcPr>
            <w:tcW w:type="dxa" w:w="2493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Net 12-week loss</w:t>
            </w:r>
          </w:p>
        </w:tc>
        <w:tc>
          <w:tcPr>
            <w:tcW w:type="dxa" w:w="2493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Opportunity recovered</w:t>
            </w:r>
          </w:p>
        </w:tc>
        <w:tc>
          <w:tcPr>
            <w:tcW w:type="dxa" w:w="2493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Description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Do nothing</w:t>
            </w:r>
          </w:p>
        </w:tc>
        <w:tc>
          <w:tcPr>
            <w:tcW w:type="dxa" w:w="2493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359 725</w:t>
            </w:r>
          </w:p>
        </w:tc>
        <w:tc>
          <w:tcPr>
            <w:tcW w:type="dxa" w:w="2493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0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All stockouts persist for 12 weeks. No reallocations made. Worst case.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Slow response</w:t>
            </w:r>
          </w:p>
        </w:tc>
        <w:tc>
          <w:tcPr>
            <w:tcW w:type="dxa" w:w="2493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179 863</w:t>
            </w:r>
          </w:p>
        </w:tc>
        <w:tc>
          <w:tcPr>
            <w:tcW w:type="dxa" w:w="2493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179 863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Reallocations rolled out gradually; about half the missed revenue is recovered by week 6 and sustained thereafter.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Disciplined response</w:t>
            </w:r>
          </w:p>
        </w:tc>
        <w:tc>
          <w:tcPr>
            <w:tcW w:type="dxa" w:w="2493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71 945</w:t>
            </w:r>
          </w:p>
        </w:tc>
        <w:tc>
          <w:tcPr>
            <w:tcW w:type="dxa" w:w="2493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287 780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Reallocations actioned weekly from week 2 onward; ~80% of the opportunity recovered.</w:t>
            </w:r>
          </w:p>
        </w:tc>
      </w:tr>
    </w:tbl>
    <w:p/>
    <w:p>
      <w:r>
        <w:rPr>
          <w:rFonts w:ascii="Calibri" w:hAnsi="Calibri"/>
          <w:sz w:val="22"/>
        </w:rPr>
        <w:t xml:space="preserve">&gt; A disciplined weekly cadence (described below) should put the business between scenarios 2 and 3 — recovering roughly </w:t>
      </w:r>
      <w:r>
        <w:rPr>
          <w:rFonts w:ascii="Calibri" w:hAnsi="Calibri"/>
          <w:b/>
          <w:sz w:val="22"/>
        </w:rPr>
        <w:t>R 200 K – R 290 K</w:t>
      </w:r>
      <w:r>
        <w:rPr>
          <w:rFonts w:ascii="Calibri" w:hAnsi="Calibri"/>
          <w:sz w:val="22"/>
        </w:rPr>
        <w:t xml:space="preserve"> of value across the quarter that would otherwise be lost.</w:t>
      </w:r>
    </w:p>
    <w:p>
      <w:pPr>
        <w:pStyle w:val="Heading2"/>
      </w:pPr>
      <w:r>
        <w:rPr>
          <w:rFonts w:ascii="Calibri" w:hAnsi="Calibri"/>
          <w:sz w:val="32"/>
        </w:rPr>
        <w:t>Plan of action — weekly operating cadence</w:t>
      </w:r>
    </w:p>
    <w:p>
      <w:pPr>
        <w:pStyle w:val="Heading3"/>
      </w:pPr>
      <w:r>
        <w:rPr>
          <w:rFonts w:ascii="Calibri" w:hAnsi="Calibri"/>
          <w:sz w:val="26"/>
        </w:rPr>
        <w:t>Phase 1 · Identify (Tuesday morning)</w:t>
      </w:r>
    </w:p>
    <w:p>
      <w:pPr>
        <w:pStyle w:val="ListBullet"/>
      </w:pPr>
      <w:r>
        <w:rPr>
          <w:rFonts w:ascii="Calibri" w:hAnsi="Calibri"/>
          <w:b/>
          <w:sz w:val="22"/>
        </w:rPr>
        <w:t>Owner:</w:t>
      </w:r>
      <w:r>
        <w:rPr>
          <w:rFonts w:ascii="Calibri" w:hAnsi="Calibri"/>
          <w:sz w:val="22"/>
        </w:rPr>
        <w:t xml:space="preserve"> Westcor commercial team / data lead</w:t>
      </w:r>
    </w:p>
    <w:p>
      <w:pPr>
        <w:pStyle w:val="ListBullet"/>
      </w:pPr>
      <w:r>
        <w:rPr>
          <w:rFonts w:ascii="Calibri" w:hAnsi="Calibri"/>
          <w:sz w:val="22"/>
        </w:rPr>
        <w:t>Run the weekly refresh: python refresh.py against the latest sell-through and CSOH extracts in the OneDrive source folder.</w:t>
      </w:r>
    </w:p>
    <w:p>
      <w:pPr>
        <w:pStyle w:val="ListBullet"/>
      </w:pPr>
      <w:r>
        <w:rPr>
          <w:rFonts w:ascii="Calibri" w:hAnsi="Calibri"/>
          <w:sz w:val="22"/>
        </w:rPr>
        <w:t>This rebuilds three artefacts automatically:</w:t>
      </w:r>
    </w:p>
    <w:p>
      <w:pPr>
        <w:pStyle w:val="ListBullet"/>
      </w:pPr>
      <w:r>
        <w:rPr>
          <w:rFonts w:ascii="Calibri" w:hAnsi="Calibri"/>
          <w:sz w:val="22"/>
        </w:rPr>
        <w:t>dashboard.html — operational view (store map, AM ranking, stockouts panel)</w:t>
      </w:r>
    </w:p>
    <w:p>
      <w:pPr>
        <w:pStyle w:val="ListBullet"/>
      </w:pPr>
      <w:r>
        <w:rPr>
          <w:rFonts w:ascii="Calibri" w:hAnsi="Calibri"/>
          <w:sz w:val="22"/>
        </w:rPr>
        <w:t>westcor_performance.html — master-report view with store-level map</w:t>
      </w:r>
    </w:p>
    <w:p>
      <w:pPr>
        <w:pStyle w:val="ListBullet"/>
      </w:pPr>
      <w:r>
        <w:rPr>
          <w:rFonts w:ascii="Calibri" w:hAnsi="Calibri"/>
          <w:sz w:val="22"/>
        </w:rPr>
        <w:t>briefings/&lt;am-name&gt;.md — one per-AM briefing per Area Manager</w:t>
      </w:r>
    </w:p>
    <w:p>
      <w:pPr>
        <w:pStyle w:val="Heading3"/>
      </w:pPr>
      <w:r>
        <w:rPr>
          <w:rFonts w:ascii="Calibri" w:hAnsi="Calibri"/>
          <w:sz w:val="26"/>
        </w:rPr>
        <w:t>Phase 2 · Brief (Tuesday afternoon)</w:t>
      </w:r>
    </w:p>
    <w:p>
      <w:pPr>
        <w:pStyle w:val="ListBullet"/>
      </w:pPr>
      <w:r>
        <w:rPr>
          <w:rFonts w:ascii="Calibri" w:hAnsi="Calibri"/>
          <w:b/>
          <w:sz w:val="22"/>
        </w:rPr>
        <w:t>Owner:</w:t>
      </w:r>
      <w:r>
        <w:rPr>
          <w:rFonts w:ascii="Calibri" w:hAnsi="Calibri"/>
          <w:sz w:val="22"/>
        </w:rPr>
        <w:t xml:space="preserve"> Sales manager</w:t>
      </w:r>
    </w:p>
    <w:p>
      <w:pPr>
        <w:pStyle w:val="ListBullet"/>
      </w:pPr>
      <w:r>
        <w:rPr>
          <w:rFonts w:ascii="Calibri" w:hAnsi="Calibri"/>
          <w:sz w:val="22"/>
        </w:rPr>
        <w:t>Forward each AM their own briefing. Each briefing already contains:</w:t>
      </w:r>
    </w:p>
    <w:p>
      <w:pPr>
        <w:pStyle w:val="ListBullet"/>
      </w:pPr>
      <w:r>
        <w:rPr>
          <w:rFonts w:ascii="Calibri" w:hAnsi="Calibri"/>
          <w:sz w:val="22"/>
        </w:rPr>
        <w:t>Their performance snapshot</w:t>
      </w:r>
    </w:p>
    <w:p>
      <w:pPr>
        <w:pStyle w:val="ListBullet"/>
      </w:pPr>
      <w:r>
        <w:rPr>
          <w:rFonts w:ascii="Calibri" w:hAnsi="Calibri"/>
          <w:sz w:val="22"/>
        </w:rPr>
        <w:t>Stockouts at their top-performing stores with the 3-week demand at each</w:t>
      </w:r>
    </w:p>
    <w:p>
      <w:pPr>
        <w:pStyle w:val="ListBullet"/>
      </w:pPr>
      <w:r>
        <w:rPr>
          <w:rFonts w:ascii="Calibri" w:hAnsi="Calibri"/>
          <w:sz w:val="22"/>
        </w:rPr>
        <w:t>Stranded inventory at their lowest-performing stocking stores</w:t>
      </w:r>
    </w:p>
    <w:p>
      <w:pPr>
        <w:pStyle w:val="ListBullet"/>
      </w:pPr>
      <w:r>
        <w:rPr>
          <w:rFonts w:ascii="Calibri" w:hAnsi="Calibri"/>
          <w:sz w:val="22"/>
        </w:rPr>
        <w:t>Suggested reallocations (same-customer, same-province preferred)</w:t>
      </w:r>
    </w:p>
    <w:p>
      <w:pPr>
        <w:pStyle w:val="ListBullet"/>
      </w:pPr>
      <w:r>
        <w:rPr>
          <w:rFonts w:ascii="Calibri" w:hAnsi="Calibri"/>
          <w:sz w:val="22"/>
        </w:rPr>
        <w:t xml:space="preserve">Tell each AM the </w:t>
      </w:r>
      <w:r>
        <w:rPr>
          <w:rFonts w:ascii="Calibri" w:hAnsi="Calibri"/>
          <w:b/>
          <w:sz w:val="22"/>
        </w:rPr>
        <w:t>same-day deadline for triage decisions: Wednesday EOB</w:t>
      </w:r>
      <w:r>
        <w:rPr>
          <w:rFonts w:ascii="Calibri" w:hAnsi="Calibri"/>
          <w:sz w:val="22"/>
        </w:rPr>
        <w:t>.</w:t>
      </w:r>
    </w:p>
    <w:p>
      <w:pPr>
        <w:pStyle w:val="Heading3"/>
      </w:pPr>
      <w:r>
        <w:rPr>
          <w:rFonts w:ascii="Calibri" w:hAnsi="Calibri"/>
          <w:sz w:val="26"/>
        </w:rPr>
        <w:t>Phase 3 · Triage (Wednesday)</w:t>
      </w:r>
    </w:p>
    <w:p>
      <w:pPr>
        <w:pStyle w:val="ListBullet"/>
      </w:pPr>
      <w:r>
        <w:rPr>
          <w:rFonts w:ascii="Calibri" w:hAnsi="Calibri"/>
          <w:b/>
          <w:sz w:val="22"/>
        </w:rPr>
        <w:t>Owner:</w:t>
      </w:r>
      <w:r>
        <w:rPr>
          <w:rFonts w:ascii="Calibri" w:hAnsi="Calibri"/>
          <w:sz w:val="22"/>
        </w:rPr>
        <w:t xml:space="preserve"> Area Manager</w:t>
      </w:r>
    </w:p>
    <w:p>
      <w:pPr>
        <w:pStyle w:val="ListBullet"/>
      </w:pPr>
      <w:r>
        <w:rPr>
          <w:rFonts w:ascii="Calibri" w:hAnsi="Calibri"/>
          <w:sz w:val="22"/>
        </w:rPr>
        <w:t>For each row in the suggested-reallocation table:</w:t>
      </w:r>
    </w:p>
    <w:p>
      <w:r>
        <w:rPr>
          <w:rFonts w:ascii="Calibri" w:hAnsi="Calibri"/>
          <w:sz w:val="22"/>
        </w:rPr>
        <w:t>1. Confirm the destination store can sell this SKU (range / planogram check)</w:t>
      </w:r>
    </w:p>
    <w:p>
      <w:r>
        <w:rPr>
          <w:rFonts w:ascii="Calibri" w:hAnsi="Calibri"/>
          <w:sz w:val="22"/>
        </w:rPr>
        <w:t>2. Confirm the source store is genuinely overstocked (no upcoming local promo)</w:t>
      </w:r>
    </w:p>
    <w:p>
      <w:r>
        <w:rPr>
          <w:rFonts w:ascii="Calibri" w:hAnsi="Calibri"/>
          <w:sz w:val="22"/>
        </w:rPr>
        <w:t xml:space="preserve">3. Mark as </w:t>
      </w:r>
      <w:r>
        <w:rPr>
          <w:rFonts w:ascii="Calibri" w:hAnsi="Calibri"/>
          <w:b/>
          <w:sz w:val="22"/>
        </w:rPr>
        <w:t>APPROVE / HOLD / DECLINE</w:t>
      </w:r>
      <w:r>
        <w:rPr>
          <w:rFonts w:ascii="Calibri" w:hAnsi="Calibri"/>
          <w:sz w:val="22"/>
        </w:rPr>
        <w:t xml:space="preserve"> with a one-line reason</w:t>
      </w:r>
    </w:p>
    <w:p>
      <w:pPr>
        <w:pStyle w:val="ListBullet"/>
      </w:pPr>
      <w:r>
        <w:rPr>
          <w:rFonts w:ascii="Calibri" w:hAnsi="Calibri"/>
          <w:sz w:val="22"/>
        </w:rPr>
        <w:t>AM submits approved reallocations to the DC by EOB Wednesday.</w:t>
      </w:r>
    </w:p>
    <w:p>
      <w:pPr>
        <w:pStyle w:val="Heading3"/>
      </w:pPr>
      <w:r>
        <w:rPr>
          <w:rFonts w:ascii="Calibri" w:hAnsi="Calibri"/>
          <w:sz w:val="26"/>
        </w:rPr>
        <w:t>Phase 4 · Move stock (Thursday – Friday)</w:t>
      </w:r>
    </w:p>
    <w:p>
      <w:pPr>
        <w:pStyle w:val="ListBullet"/>
      </w:pPr>
      <w:r>
        <w:rPr>
          <w:rFonts w:ascii="Calibri" w:hAnsi="Calibri"/>
          <w:b/>
          <w:sz w:val="22"/>
        </w:rPr>
        <w:t>Owner:</w:t>
      </w:r>
      <w:r>
        <w:rPr>
          <w:rFonts w:ascii="Calibri" w:hAnsi="Calibri"/>
          <w:sz w:val="22"/>
        </w:rPr>
        <w:t xml:space="preserve"> DC operations</w:t>
      </w:r>
    </w:p>
    <w:p>
      <w:pPr>
        <w:pStyle w:val="ListBullet"/>
      </w:pPr>
      <w:r>
        <w:rPr>
          <w:rFonts w:ascii="Calibri" w:hAnsi="Calibri"/>
          <w:sz w:val="22"/>
        </w:rPr>
        <w:t>Approved reallocations get picked, packed and dispatched.</w:t>
      </w:r>
    </w:p>
    <w:p>
      <w:pPr>
        <w:pStyle w:val="ListBullet"/>
      </w:pPr>
      <w:r>
        <w:rPr>
          <w:rFonts w:ascii="Calibri" w:hAnsi="Calibri"/>
          <w:sz w:val="22"/>
        </w:rPr>
        <w:t>Target arrival: stores receive Monday → on shelf same day for the new trading week.</w:t>
      </w:r>
    </w:p>
    <w:p>
      <w:pPr>
        <w:pStyle w:val="Heading3"/>
      </w:pPr>
      <w:r>
        <w:rPr>
          <w:rFonts w:ascii="Calibri" w:hAnsi="Calibri"/>
          <w:sz w:val="26"/>
        </w:rPr>
        <w:t>Phase 5 · Verify (Following Tuesday)</w:t>
      </w:r>
    </w:p>
    <w:p>
      <w:pPr>
        <w:pStyle w:val="ListBullet"/>
      </w:pPr>
      <w:r>
        <w:rPr>
          <w:rFonts w:ascii="Calibri" w:hAnsi="Calibri"/>
          <w:b/>
          <w:sz w:val="22"/>
        </w:rPr>
        <w:t>Owner:</w:t>
      </w:r>
      <w:r>
        <w:rPr>
          <w:rFonts w:ascii="Calibri" w:hAnsi="Calibri"/>
          <w:sz w:val="22"/>
        </w:rPr>
        <w:t xml:space="preserve"> Westcor commercial team</w:t>
      </w:r>
    </w:p>
    <w:p>
      <w:pPr>
        <w:pStyle w:val="ListBullet"/>
      </w:pPr>
      <w:r>
        <w:rPr>
          <w:rFonts w:ascii="Calibri" w:hAnsi="Calibri"/>
          <w:sz w:val="22"/>
        </w:rPr>
        <w:t>After the next data refresh, check:</w:t>
      </w:r>
    </w:p>
    <w:p>
      <w:pPr>
        <w:pStyle w:val="ListBullet"/>
      </w:pPr>
      <w:r>
        <w:rPr>
          <w:rFonts w:ascii="Calibri" w:hAnsi="Calibri"/>
          <w:sz w:val="22"/>
        </w:rPr>
        <w:t>CSOH for the targeted (store, SKU) pairs is now &gt; 0</w:t>
      </w:r>
    </w:p>
    <w:p>
      <w:pPr>
        <w:pStyle w:val="ListBullet"/>
      </w:pPr>
      <w:r>
        <w:rPr>
          <w:rFonts w:ascii="Calibri" w:hAnsi="Calibri"/>
          <w:sz w:val="22"/>
        </w:rPr>
        <w:t>Last week's sell-through at those stores</w:t>
      </w:r>
    </w:p>
    <w:p>
      <w:pPr>
        <w:pStyle w:val="ListBullet"/>
      </w:pPr>
      <w:r>
        <w:rPr>
          <w:rFonts w:ascii="Calibri" w:hAnsi="Calibri"/>
          <w:sz w:val="22"/>
        </w:rPr>
        <w:t>Escalate any stockout that persists beyond two consecutive weeks — likely a data, range or DC issue rather than a stock-balance issue.</w:t>
      </w:r>
    </w:p>
    <w:p>
      <w:pPr>
        <w:pStyle w:val="Heading3"/>
      </w:pPr>
      <w:r>
        <w:rPr>
          <w:rFonts w:ascii="Calibri" w:hAnsi="Calibri"/>
          <w:sz w:val="26"/>
        </w:rPr>
        <w:t>Phase 6 · Govern (Monthly)</w:t>
      </w:r>
    </w:p>
    <w:p>
      <w:pPr>
        <w:pStyle w:val="ListBullet"/>
      </w:pPr>
      <w:r>
        <w:rPr>
          <w:rFonts w:ascii="Calibri" w:hAnsi="Calibri"/>
          <w:b/>
          <w:sz w:val="22"/>
        </w:rPr>
        <w:t>Owner:</w:t>
      </w:r>
      <w:r>
        <w:rPr>
          <w:rFonts w:ascii="Calibri" w:hAnsi="Calibri"/>
          <w:sz w:val="22"/>
        </w:rPr>
        <w:t xml:space="preserve"> Sales director</w:t>
      </w:r>
    </w:p>
    <w:p>
      <w:pPr>
        <w:pStyle w:val="ListBullet"/>
      </w:pPr>
      <w:r>
        <w:rPr>
          <w:rFonts w:ascii="Calibri" w:hAnsi="Calibri"/>
          <w:sz w:val="22"/>
        </w:rPr>
        <w:t>Track three numbers in the monthly review:</w:t>
      </w:r>
    </w:p>
    <w:p>
      <w:pPr>
        <w:pStyle w:val="ListBullet"/>
      </w:pPr>
      <w:r>
        <w:rPr>
          <w:rFonts w:ascii="Calibri" w:hAnsi="Calibri"/>
          <w:b/>
          <w:sz w:val="22"/>
        </w:rPr>
        <w:t>Weekly opportunity identified</w:t>
      </w:r>
      <w:r>
        <w:rPr>
          <w:rFonts w:ascii="Calibri" w:hAnsi="Calibri"/>
          <w:sz w:val="22"/>
        </w:rPr>
        <w:t xml:space="preserve"> (running average — this week was R 29 977)</w:t>
      </w:r>
    </w:p>
    <w:p>
      <w:pPr>
        <w:pStyle w:val="ListBullet"/>
      </w:pPr>
      <w:r>
        <w:rPr>
          <w:rFonts w:ascii="Calibri" w:hAnsi="Calibri"/>
          <w:b/>
          <w:sz w:val="22"/>
        </w:rPr>
        <w:t>Weekly opportunity actioned</w:t>
      </w:r>
      <w:r>
        <w:rPr>
          <w:rFonts w:ascii="Calibri" w:hAnsi="Calibri"/>
          <w:sz w:val="22"/>
        </w:rPr>
        <w:t xml:space="preserve"> (number of reallocations approved and delivered)</w:t>
      </w:r>
    </w:p>
    <w:p>
      <w:pPr>
        <w:pStyle w:val="ListBullet"/>
      </w:pPr>
      <w:r>
        <w:rPr>
          <w:rFonts w:ascii="Calibri" w:hAnsi="Calibri"/>
          <w:b/>
          <w:sz w:val="22"/>
        </w:rPr>
        <w:t>AMs above the median stockout rate</w:t>
      </w:r>
      <w:r>
        <w:rPr>
          <w:rFonts w:ascii="Calibri" w:hAnsi="Calibri"/>
          <w:sz w:val="22"/>
        </w:rPr>
        <w:t xml:space="preserve"> — call them out, agree corrective steps</w:t>
      </w:r>
    </w:p>
    <w:p>
      <w:pPr>
        <w:pStyle w:val="ListBullet"/>
      </w:pPr>
      <w:r>
        <w:rPr>
          <w:rFonts w:ascii="Calibri" w:hAnsi="Calibri"/>
          <w:sz w:val="22"/>
        </w:rPr>
        <w:t xml:space="preserve">If the same SKU appears repeatedly in the stranded list across multiple AMs, it's a </w:t>
      </w:r>
      <w:r>
        <w:rPr>
          <w:rFonts w:ascii="Calibri" w:hAnsi="Calibri"/>
          <w:b/>
          <w:sz w:val="22"/>
        </w:rPr>
        <w:t>DC over-allocation</w:t>
      </w:r>
      <w:r>
        <w:rPr>
          <w:rFonts w:ascii="Calibri" w:hAnsi="Calibri"/>
          <w:sz w:val="22"/>
        </w:rPr>
        <w:t xml:space="preserve"> issue — feed back into the ordering plan, not the weekly reallocation cycle.</w:t>
      </w:r>
    </w:p>
    <w:p>
      <w:pPr>
        <w:pStyle w:val="Heading2"/>
      </w:pPr>
      <w:r>
        <w:rPr>
          <w:rFonts w:ascii="Calibri" w:hAnsi="Calibri"/>
          <w:sz w:val="32"/>
        </w:rPr>
        <w:t>Top 20 individual stockout opportunities (12-week value)</w:t>
      </w:r>
    </w:p>
    <w:p>
      <w:r>
        <w:rPr>
          <w:rFonts w:ascii="Calibri" w:hAnsi="Calibri"/>
          <w:sz w:val="22"/>
        </w:rPr>
        <w:t>Highest-value single (store × SKU) combinations across all AMs. Use this as the starting list if you want to action only the largest items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AM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Customer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Weekly value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12-week value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 61419069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1 781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21 373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690669 60701506 MKM CLASSIC FORMAL MESH METAL W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1 730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20 765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717762 61419064 MKM  CLASSIC TEXTURED ROUND WAT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1 577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18 924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620635 59690358 MKM CLASSIC FORMAL MESH METAL W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1 496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17 958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662079 60126477 MKM CLASSIC FORMAL RND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1 386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16 631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702539 60986229 MKM  CLASSIC TEXTURED ROUND WAT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1 385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16 623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727723 MKM CLASSIC RND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1 253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15 040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725774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1 250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14 998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702577 60986379 MKM CLASSIC FORMAL AVIATOR WATC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1 187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14 248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702553 60986238 MKM CLASSIC FORMAL AVIATOR WATC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1 121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13 457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842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10 103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Krishna Pillay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679787 60363604 MKM BLACK FLAT LENS LOUNGER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618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7 420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Abram Ledwaba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349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4 193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Unassigned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Stoneridge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716123 403214 GENUINE 18CT GOLD PLATED INTERLIN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324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3 886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Anton Sprake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702362 60986363 MKM FATHOM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324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3 885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Abram Ledwaba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303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3 636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Vandy Strydom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Greenacres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299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3 582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Abram Ledwaba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662079 60126477 MKM CLASSIC FORMAL RND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270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3 241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Abram Ledwaba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253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3 038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Abram Ledwaba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#10 · 702577 60986379 MKM CLASSIC FORMAL AVIATOR WATC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R 240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b/>
                <w:sz w:val="20"/>
              </w:rPr>
              <w:t>R 2 876</w:t>
            </w:r>
          </w:p>
        </w:tc>
      </w:tr>
    </w:tbl>
    <w:p/>
    <w:p>
      <w:pPr>
        <w:pStyle w:val="Heading2"/>
      </w:pPr>
      <w:r>
        <w:rPr>
          <w:rFonts w:ascii="Calibri" w:hAnsi="Calibri"/>
          <w:sz w:val="32"/>
        </w:rPr>
        <w:t>Confidence + caveats</w:t>
      </w:r>
    </w:p>
    <w:p>
      <w:r>
        <w:rPr>
          <w:rFonts w:ascii="Calibri" w:hAnsi="Calibri"/>
          <w:b/>
          <w:sz w:val="22"/>
        </w:rPr>
        <w:t>This is a conservative estimate. Real upside is probably higher.</w:t>
      </w:r>
      <w:r>
        <w:rPr>
          <w:rFonts w:ascii="Calibri" w:hAnsi="Calibri"/>
          <w:sz w:val="22"/>
        </w:rPr>
        <w:t xml:space="preserve"> A few specific reasons:</w:t>
      </w:r>
    </w:p>
    <w:p>
      <w:pPr>
        <w:pStyle w:val="ListBullet"/>
      </w:pPr>
      <w:r>
        <w:rPr>
          <w:rFonts w:ascii="Calibri" w:hAnsi="Calibri"/>
          <w:sz w:val="22"/>
        </w:rPr>
        <w:t xml:space="preserve">Each store's expected weekly demand is sized from its </w:t>
      </w:r>
      <w:r>
        <w:rPr>
          <w:rFonts w:ascii="Calibri" w:hAnsi="Calibri"/>
          <w:b/>
          <w:sz w:val="22"/>
        </w:rPr>
        <w:t>measured</w:t>
      </w:r>
      <w:r>
        <w:rPr>
          <w:rFonts w:ascii="Calibri" w:hAnsi="Calibri"/>
          <w:sz w:val="22"/>
        </w:rPr>
        <w:t xml:space="preserve"> unit share of the AM's territory — but the stockout itself depresses that measurement. The store's true share (had they been stocked) is 5–15% higher.</w:t>
      </w:r>
    </w:p>
    <w:p>
      <w:pPr>
        <w:pStyle w:val="ListBullet"/>
      </w:pPr>
      <w:r>
        <w:rPr>
          <w:rFonts w:ascii="Calibri" w:hAnsi="Calibri"/>
          <w:sz w:val="22"/>
        </w:rPr>
        <w:t>Walk-out / no-purchase customers don't appear in any feed. Underlying demand for any well-known bestseller is always ≥ what's recorded.</w:t>
      </w:r>
    </w:p>
    <w:p>
      <w:pPr>
        <w:pStyle w:val="ListBullet"/>
      </w:pPr>
      <w:r>
        <w:rPr>
          <w:rFonts w:ascii="Calibri" w:hAnsi="Calibri"/>
          <w:sz w:val="22"/>
        </w:rPr>
        <w:t>The bestseller list and the assortment filter are computed per Area Manager and per Customer, so cross-customer noise (Markham SKUs at Clicks stores, or vice versa) does not pollute the result.</w:t>
      </w:r>
    </w:p>
    <w:p>
      <w:pPr>
        <w:pStyle w:val="ListBullet"/>
      </w:pPr>
      <w:r>
        <w:rPr>
          <w:rFonts w:ascii="Calibri" w:hAnsi="Calibri"/>
          <w:sz w:val="22"/>
        </w:rPr>
        <w:t>Online channels (notably Markham Online Johannesburg) sit at the top of the opportunity list but use central inventory — reallocation from physical stores may not be the right lever. Filter those out of the actioning list if your DC can't move stock that way.</w:t>
      </w:r>
    </w:p>
    <w:p>
      <w:r>
        <w:rPr>
          <w:rFonts w:ascii="Calibri" w:hAnsi="Calibri"/>
          <w:b/>
          <w:sz w:val="22"/>
        </w:rPr>
        <w:t>Refreshing this document:</w:t>
      </w:r>
      <w:r>
        <w:rPr>
          <w:rFonts w:ascii="Calibri" w:hAnsi="Calibri"/>
          <w:sz w:val="22"/>
        </w:rPr>
        <w:t xml:space="preserve"> run python action_plan.py after any refresh.py. The plan stays the same; the numbers and the top-20 list update against the latest week.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41B2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41B2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41B2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