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Area Manager Executive Briefings</w:t>
      </w:r>
    </w:p>
    <w:p>
      <w:r>
        <w:rPr>
          <w:rFonts w:ascii="Calibri" w:hAnsi="Calibri"/>
          <w:b/>
          <w:sz w:val="22"/>
        </w:rPr>
        <w:t>Period:</w:t>
      </w:r>
      <w:r>
        <w:rPr>
          <w:rFonts w:ascii="Calibri" w:hAnsi="Calibri"/>
          <w:sz w:val="22"/>
        </w:rPr>
        <w:t xml:space="preserve"> 2026-03-23 -&gt; 2026-03-29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Format:</w:t>
      </w:r>
    </w:p>
    <w:p>
      <w:pPr>
        <w:pStyle w:val="ListBullet"/>
      </w:pPr>
      <w:r>
        <w:rPr>
          <w:rFonts w:ascii="Calibri" w:hAnsi="Calibri"/>
          <w:sz w:val="22"/>
        </w:rPr>
        <w:t>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top-performing stores (best-sellers missing)</w:t>
      </w:r>
    </w:p>
    <w:p>
      <w:pPr>
        <w:pStyle w:val="ListBullet"/>
      </w:pPr>
      <w:r>
        <w:rPr>
          <w:rFonts w:ascii="Calibri" w:hAnsi="Calibri"/>
          <w:sz w:val="22"/>
        </w:rPr>
        <w:t>Stranded inventory at bottom-performing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to close the gap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Rodney Rhode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457 368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3 396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186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15 609 848 (92 428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Western Cape 98% · Mpumalanga 1% · KwaZulu-Natal 0%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59% · Clicks 41%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35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Somerset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Golden Acre Cape Town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Century City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727150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3PK BEADED BRACELET WITH CHAIN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Victoria Wharf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712996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61418653 MKM WRIST Pearl 4-Pk Bracelet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712644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61418647 MKM WRIST Glass Beaded With Infinity Hardware 2- PA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687690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60690785 MKM GREEN OVAL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Cavendish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Somerset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Golden Acre Cape Town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Golden Acre Cape Town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727150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3PK BEADED BRACELET WITH CHAIN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Welgelee Plein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Sanbury Square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Graanendal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Mfuleni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Watergate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Capricorn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Riversdale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Cinnamon Square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 Vangate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Pelican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Welgelee Plein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Welgelee Plein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Sanbury Square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Capricorn Park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Riversdale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Graanendal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Mfuleni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Watergate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646208 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Cinnamon Square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 Vangate Mall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646215 373016 GOLD HOOP MULTI ER PACK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Pelican Park (Western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Belville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